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0AEC4FE">
      <w:pPr>
        <w:jc w:val="both"/>
        <w:rPr>
          <w:rFonts w:hint="default" w:ascii="黑体" w:hAnsi="黑体" w:eastAsia="黑体" w:cs="黑体"/>
          <w:b w:val="0"/>
          <w:bCs/>
          <w:sz w:val="32"/>
          <w:szCs w:val="32"/>
          <w:lang w:val="en-US" w:eastAsia="zh-CN"/>
        </w:rPr>
      </w:pPr>
      <w:bookmarkStart w:id="0" w:name="_GoBack"/>
      <w:bookmarkEnd w:id="0"/>
    </w:p>
    <w:p w14:paraId="6A2ADA4E">
      <w:pPr>
        <w:jc w:val="center"/>
        <w:rPr>
          <w:rFonts w:hint="eastAsia" w:ascii="宋体" w:hAnsi="宋体"/>
          <w:b/>
          <w:sz w:val="36"/>
          <w:szCs w:val="36"/>
        </w:rPr>
      </w:pPr>
      <w:r>
        <w:rPr>
          <w:rFonts w:hint="eastAsia" w:ascii="宋体" w:hAnsi="宋体" w:cs="Times New Roman"/>
          <w:b/>
          <w:sz w:val="36"/>
          <w:szCs w:val="36"/>
          <w:lang w:eastAsia="zh-CN"/>
        </w:rPr>
        <w:t>淮北市中医医院</w:t>
      </w:r>
      <w:r>
        <w:rPr>
          <w:rFonts w:hint="eastAsia" w:ascii="宋体" w:hAnsi="宋体"/>
          <w:b/>
          <w:sz w:val="36"/>
          <w:szCs w:val="36"/>
          <w:lang w:eastAsia="zh-CN"/>
        </w:rPr>
        <w:t>202</w:t>
      </w:r>
      <w:r>
        <w:rPr>
          <w:rFonts w:hint="eastAsia" w:ascii="宋体" w:hAnsi="宋体"/>
          <w:b/>
          <w:sz w:val="36"/>
          <w:szCs w:val="36"/>
          <w:lang w:val="en-US" w:eastAsia="zh-CN"/>
        </w:rPr>
        <w:t>3</w:t>
      </w:r>
      <w:r>
        <w:rPr>
          <w:rFonts w:ascii="宋体" w:hAnsi="宋体"/>
          <w:b/>
          <w:sz w:val="36"/>
          <w:szCs w:val="36"/>
        </w:rPr>
        <w:t>年</w:t>
      </w:r>
      <w:r>
        <w:rPr>
          <w:rFonts w:hint="eastAsia" w:ascii="宋体" w:hAnsi="宋体"/>
          <w:b/>
          <w:sz w:val="36"/>
          <w:szCs w:val="36"/>
        </w:rPr>
        <w:t>度一般公共预算财政拨款</w:t>
      </w:r>
      <w:r>
        <w:rPr>
          <w:rFonts w:ascii="宋体" w:hAnsi="宋体"/>
          <w:b/>
          <w:sz w:val="36"/>
          <w:szCs w:val="36"/>
        </w:rPr>
        <w:t>“三公</w:t>
      </w:r>
      <w:r>
        <w:rPr>
          <w:rFonts w:hint="eastAsia" w:ascii="宋体" w:hAnsi="宋体"/>
          <w:b/>
          <w:sz w:val="36"/>
          <w:szCs w:val="36"/>
        </w:rPr>
        <w:t>”</w:t>
      </w:r>
      <w:r>
        <w:rPr>
          <w:rFonts w:ascii="宋体" w:hAnsi="宋体"/>
          <w:b/>
          <w:sz w:val="36"/>
          <w:szCs w:val="36"/>
        </w:rPr>
        <w:t>经费</w:t>
      </w:r>
      <w:r>
        <w:rPr>
          <w:rFonts w:hint="eastAsia" w:ascii="宋体" w:hAnsi="宋体"/>
          <w:b/>
          <w:sz w:val="36"/>
          <w:szCs w:val="36"/>
        </w:rPr>
        <w:t>支出决算</w:t>
      </w:r>
    </w:p>
    <w:p w14:paraId="17432E96">
      <w:pPr>
        <w:jc w:val="center"/>
        <w:rPr>
          <w:rFonts w:hint="eastAsia" w:ascii="楷体_GB2312" w:eastAsia="楷体_GB2312"/>
          <w:szCs w:val="32"/>
        </w:rPr>
      </w:pPr>
    </w:p>
    <w:p w14:paraId="4F8E182B">
      <w:pPr>
        <w:rPr>
          <w:rFonts w:hint="eastAsia" w:ascii="黑体" w:hAnsi="黑体" w:eastAsia="黑体"/>
          <w:szCs w:val="32"/>
        </w:rPr>
      </w:pPr>
      <w:r>
        <w:rPr>
          <w:rFonts w:hint="eastAsia" w:ascii="黑体" w:hAnsi="黑体" w:eastAsia="黑体"/>
          <w:szCs w:val="32"/>
          <w:lang w:val="en-US" w:eastAsia="zh-CN"/>
        </w:rPr>
        <w:t xml:space="preserve">    </w:t>
      </w:r>
      <w:r>
        <w:rPr>
          <w:rFonts w:hint="eastAsia" w:ascii="黑体" w:hAnsi="黑体" w:eastAsia="黑体"/>
          <w:szCs w:val="32"/>
        </w:rPr>
        <w:t>一、</w:t>
      </w:r>
      <w:r>
        <w:rPr>
          <w:rFonts w:hint="eastAsia" w:ascii="黑体" w:hAnsi="黑体" w:eastAsia="黑体"/>
          <w:szCs w:val="32"/>
          <w:lang w:eastAsia="zh-CN"/>
        </w:rPr>
        <w:t>202</w:t>
      </w:r>
      <w:r>
        <w:rPr>
          <w:rFonts w:hint="eastAsia" w:ascii="黑体" w:hAnsi="黑体" w:eastAsia="黑体"/>
          <w:szCs w:val="32"/>
          <w:lang w:val="en-US" w:eastAsia="zh-CN"/>
        </w:rPr>
        <w:t>3</w:t>
      </w:r>
      <w:r>
        <w:rPr>
          <w:rFonts w:hint="eastAsia" w:ascii="黑体" w:hAnsi="黑体" w:eastAsia="黑体"/>
          <w:szCs w:val="32"/>
        </w:rPr>
        <w:t>年度一般公共预算财政拨款“三公”经费支出决算表</w:t>
      </w:r>
    </w:p>
    <w:p w14:paraId="73D5924A">
      <w:pPr>
        <w:ind w:firstLine="7216" w:firstLineChars="2298"/>
        <w:rPr>
          <w:rFonts w:hint="eastAsia" w:ascii="黑体" w:hAnsi="黑体" w:eastAsia="黑体"/>
          <w:szCs w:val="32"/>
        </w:rPr>
      </w:pPr>
      <w:r>
        <w:rPr>
          <w:rFonts w:hint="eastAsia" w:ascii="仿宋_GB2312" w:hAnsi="仿宋_GB2312" w:cs="仿宋_GB2312"/>
          <w:szCs w:val="32"/>
        </w:rPr>
        <w:t>单位：万元</w:t>
      </w:r>
    </w:p>
    <w:tbl>
      <w:tblPr>
        <w:tblStyle w:val="4"/>
        <w:tblpPr w:leftFromText="180" w:rightFromText="180" w:vertAnchor="text" w:horzAnchor="margin" w:tblpY="454"/>
        <w:tblOverlap w:val="never"/>
        <w:tblW w:w="0" w:type="auto"/>
        <w:tblInd w:w="0" w:type="dxa"/>
        <w:tblLayout w:type="fixed"/>
        <w:tblCellMar>
          <w:top w:w="0" w:type="dxa"/>
          <w:left w:w="108" w:type="dxa"/>
          <w:bottom w:w="0" w:type="dxa"/>
          <w:right w:w="108" w:type="dxa"/>
        </w:tblCellMar>
      </w:tblPr>
      <w:tblGrid>
        <w:gridCol w:w="4379"/>
        <w:gridCol w:w="2157"/>
        <w:gridCol w:w="2220"/>
      </w:tblGrid>
      <w:tr w14:paraId="4C164E24">
        <w:tblPrEx>
          <w:tblCellMar>
            <w:top w:w="0" w:type="dxa"/>
            <w:left w:w="108" w:type="dxa"/>
            <w:bottom w:w="0" w:type="dxa"/>
            <w:right w:w="108" w:type="dxa"/>
          </w:tblCellMar>
        </w:tblPrEx>
        <w:trPr>
          <w:trHeight w:val="397" w:hRule="atLeast"/>
        </w:trPr>
        <w:tc>
          <w:tcPr>
            <w:tcW w:w="4379" w:type="dxa"/>
            <w:tcBorders>
              <w:top w:val="single" w:color="auto" w:sz="4" w:space="0"/>
              <w:left w:val="single" w:color="auto" w:sz="4" w:space="0"/>
              <w:bottom w:val="single" w:color="auto" w:sz="4" w:space="0"/>
              <w:right w:val="single" w:color="auto" w:sz="4" w:space="0"/>
            </w:tcBorders>
            <w:noWrap w:val="0"/>
            <w:vAlign w:val="center"/>
          </w:tcPr>
          <w:p w14:paraId="311CC334">
            <w:pPr>
              <w:widowControl/>
              <w:jc w:val="center"/>
              <w:rPr>
                <w:rFonts w:ascii="宋体" w:hAnsi="宋体" w:cs="宋体"/>
                <w:b/>
                <w:bCs/>
                <w:kern w:val="0"/>
                <w:szCs w:val="21"/>
              </w:rPr>
            </w:pPr>
            <w:r>
              <w:rPr>
                <w:rFonts w:hint="eastAsia" w:ascii="宋体" w:hAnsi="宋体" w:cs="宋体"/>
                <w:b/>
                <w:bCs/>
                <w:kern w:val="0"/>
                <w:szCs w:val="21"/>
              </w:rPr>
              <w:t>项  目</w:t>
            </w:r>
          </w:p>
        </w:tc>
        <w:tc>
          <w:tcPr>
            <w:tcW w:w="2157" w:type="dxa"/>
            <w:tcBorders>
              <w:top w:val="single" w:color="auto" w:sz="4" w:space="0"/>
              <w:left w:val="nil"/>
              <w:bottom w:val="single" w:color="auto" w:sz="4" w:space="0"/>
              <w:right w:val="single" w:color="auto" w:sz="4" w:space="0"/>
            </w:tcBorders>
            <w:noWrap w:val="0"/>
            <w:vAlign w:val="center"/>
          </w:tcPr>
          <w:p w14:paraId="4980ADB4">
            <w:pPr>
              <w:widowControl/>
              <w:jc w:val="center"/>
              <w:rPr>
                <w:rFonts w:ascii="宋体" w:hAnsi="宋体" w:cs="宋体"/>
                <w:b/>
                <w:bCs/>
                <w:kern w:val="0"/>
                <w:szCs w:val="21"/>
              </w:rPr>
            </w:pPr>
            <w:r>
              <w:rPr>
                <w:rFonts w:hint="eastAsia" w:ascii="宋体" w:hAnsi="宋体" w:cs="宋体"/>
                <w:b/>
                <w:bCs/>
                <w:kern w:val="0"/>
                <w:szCs w:val="21"/>
              </w:rPr>
              <w:t>预 算 数</w:t>
            </w:r>
          </w:p>
        </w:tc>
        <w:tc>
          <w:tcPr>
            <w:tcW w:w="2220" w:type="dxa"/>
            <w:tcBorders>
              <w:top w:val="single" w:color="auto" w:sz="4" w:space="0"/>
              <w:left w:val="nil"/>
              <w:bottom w:val="single" w:color="auto" w:sz="4" w:space="0"/>
              <w:right w:val="single" w:color="auto" w:sz="4" w:space="0"/>
            </w:tcBorders>
            <w:noWrap w:val="0"/>
            <w:vAlign w:val="center"/>
          </w:tcPr>
          <w:p w14:paraId="22D15D8D">
            <w:pPr>
              <w:widowControl/>
              <w:jc w:val="center"/>
              <w:rPr>
                <w:rFonts w:ascii="宋体" w:hAnsi="宋体" w:cs="宋体"/>
                <w:b/>
                <w:bCs/>
                <w:kern w:val="0"/>
                <w:szCs w:val="21"/>
              </w:rPr>
            </w:pPr>
            <w:r>
              <w:rPr>
                <w:rFonts w:hint="eastAsia" w:ascii="宋体" w:hAnsi="宋体" w:cs="宋体"/>
                <w:b/>
                <w:bCs/>
                <w:kern w:val="0"/>
                <w:szCs w:val="21"/>
              </w:rPr>
              <w:t>决 算 数</w:t>
            </w:r>
          </w:p>
        </w:tc>
      </w:tr>
      <w:tr w14:paraId="67B36D01">
        <w:tblPrEx>
          <w:tblCellMar>
            <w:top w:w="0" w:type="dxa"/>
            <w:left w:w="108" w:type="dxa"/>
            <w:bottom w:w="0" w:type="dxa"/>
            <w:right w:w="108" w:type="dxa"/>
          </w:tblCellMar>
        </w:tblPrEx>
        <w:trPr>
          <w:trHeight w:val="397" w:hRule="atLeast"/>
        </w:trPr>
        <w:tc>
          <w:tcPr>
            <w:tcW w:w="4379" w:type="dxa"/>
            <w:tcBorders>
              <w:top w:val="nil"/>
              <w:left w:val="single" w:color="auto" w:sz="4" w:space="0"/>
              <w:bottom w:val="single" w:color="auto" w:sz="4" w:space="0"/>
              <w:right w:val="single" w:color="auto" w:sz="4" w:space="0"/>
            </w:tcBorders>
            <w:noWrap w:val="0"/>
            <w:vAlign w:val="center"/>
          </w:tcPr>
          <w:p w14:paraId="46C48962">
            <w:pPr>
              <w:widowControl/>
              <w:jc w:val="center"/>
              <w:rPr>
                <w:rFonts w:ascii="宋体" w:hAnsi="宋体" w:cs="宋体"/>
                <w:b/>
                <w:bCs/>
                <w:kern w:val="0"/>
                <w:szCs w:val="21"/>
              </w:rPr>
            </w:pPr>
            <w:r>
              <w:rPr>
                <w:rFonts w:hint="eastAsia" w:ascii="宋体" w:hAnsi="宋体" w:cs="宋体"/>
                <w:b/>
                <w:bCs/>
                <w:kern w:val="0"/>
                <w:szCs w:val="21"/>
              </w:rPr>
              <w:t>合  计</w:t>
            </w:r>
          </w:p>
        </w:tc>
        <w:tc>
          <w:tcPr>
            <w:tcW w:w="2157" w:type="dxa"/>
            <w:tcBorders>
              <w:top w:val="nil"/>
              <w:left w:val="nil"/>
              <w:bottom w:val="single" w:color="auto" w:sz="4" w:space="0"/>
              <w:right w:val="single" w:color="auto" w:sz="4" w:space="0"/>
            </w:tcBorders>
            <w:noWrap w:val="0"/>
            <w:vAlign w:val="center"/>
          </w:tcPr>
          <w:p w14:paraId="53F86778">
            <w:pPr>
              <w:widowControl/>
              <w:jc w:val="center"/>
              <w:rPr>
                <w:rFonts w:hint="eastAsia" w:ascii="宋体" w:hAnsi="宋体" w:eastAsia="仿宋_GB2312" w:cs="宋体"/>
                <w:b/>
                <w:bCs/>
                <w:kern w:val="0"/>
                <w:szCs w:val="21"/>
                <w:lang w:val="en-US" w:eastAsia="zh-CN"/>
              </w:rPr>
            </w:pPr>
            <w:r>
              <w:rPr>
                <w:rFonts w:hint="eastAsia" w:ascii="宋体" w:hAnsi="宋体" w:cs="宋体"/>
                <w:b/>
                <w:bCs/>
                <w:kern w:val="0"/>
                <w:szCs w:val="21"/>
                <w:lang w:val="en-US" w:eastAsia="zh-CN"/>
              </w:rPr>
              <w:t>0</w:t>
            </w:r>
          </w:p>
        </w:tc>
        <w:tc>
          <w:tcPr>
            <w:tcW w:w="2220" w:type="dxa"/>
            <w:tcBorders>
              <w:top w:val="nil"/>
              <w:left w:val="nil"/>
              <w:bottom w:val="single" w:color="auto" w:sz="4" w:space="0"/>
              <w:right w:val="single" w:color="auto" w:sz="4" w:space="0"/>
            </w:tcBorders>
            <w:noWrap w:val="0"/>
            <w:vAlign w:val="center"/>
          </w:tcPr>
          <w:p w14:paraId="3EDC43B4">
            <w:pPr>
              <w:widowControl/>
              <w:jc w:val="center"/>
              <w:rPr>
                <w:rFonts w:hint="eastAsia" w:ascii="宋体" w:hAnsi="宋体" w:eastAsia="仿宋_GB2312" w:cs="宋体"/>
                <w:b/>
                <w:bCs/>
                <w:kern w:val="0"/>
                <w:szCs w:val="21"/>
                <w:lang w:val="en-US" w:eastAsia="zh-CN"/>
              </w:rPr>
            </w:pPr>
            <w:r>
              <w:rPr>
                <w:rFonts w:hint="eastAsia" w:ascii="宋体" w:hAnsi="宋体" w:cs="宋体"/>
                <w:b/>
                <w:bCs/>
                <w:kern w:val="0"/>
                <w:szCs w:val="21"/>
                <w:lang w:val="en-US" w:eastAsia="zh-CN"/>
              </w:rPr>
              <w:t>0</w:t>
            </w:r>
          </w:p>
        </w:tc>
      </w:tr>
      <w:tr w14:paraId="4E46CF1D">
        <w:tblPrEx>
          <w:tblCellMar>
            <w:top w:w="0" w:type="dxa"/>
            <w:left w:w="108" w:type="dxa"/>
            <w:bottom w:w="0" w:type="dxa"/>
            <w:right w:w="108" w:type="dxa"/>
          </w:tblCellMar>
        </w:tblPrEx>
        <w:trPr>
          <w:trHeight w:val="397" w:hRule="atLeast"/>
        </w:trPr>
        <w:tc>
          <w:tcPr>
            <w:tcW w:w="4379" w:type="dxa"/>
            <w:tcBorders>
              <w:top w:val="nil"/>
              <w:left w:val="single" w:color="auto" w:sz="4" w:space="0"/>
              <w:bottom w:val="single" w:color="auto" w:sz="4" w:space="0"/>
              <w:right w:val="single" w:color="auto" w:sz="4" w:space="0"/>
            </w:tcBorders>
            <w:noWrap w:val="0"/>
            <w:vAlign w:val="center"/>
          </w:tcPr>
          <w:p w14:paraId="10E40DFE">
            <w:pPr>
              <w:widowControl/>
              <w:jc w:val="left"/>
              <w:rPr>
                <w:rFonts w:ascii="宋体" w:hAnsi="宋体" w:cs="宋体"/>
                <w:kern w:val="0"/>
                <w:szCs w:val="21"/>
              </w:rPr>
            </w:pPr>
            <w:r>
              <w:rPr>
                <w:rFonts w:hint="eastAsia" w:ascii="宋体" w:hAnsi="宋体" w:cs="宋体"/>
                <w:kern w:val="0"/>
                <w:szCs w:val="21"/>
              </w:rPr>
              <w:t>因公出国（境）费</w:t>
            </w:r>
          </w:p>
        </w:tc>
        <w:tc>
          <w:tcPr>
            <w:tcW w:w="2157" w:type="dxa"/>
            <w:tcBorders>
              <w:top w:val="nil"/>
              <w:left w:val="nil"/>
              <w:bottom w:val="single" w:color="auto" w:sz="4" w:space="0"/>
              <w:right w:val="single" w:color="auto" w:sz="4" w:space="0"/>
            </w:tcBorders>
            <w:noWrap w:val="0"/>
            <w:vAlign w:val="bottom"/>
          </w:tcPr>
          <w:p w14:paraId="17FBAF90">
            <w:pPr>
              <w:widowControl/>
              <w:jc w:val="center"/>
              <w:rPr>
                <w:rFonts w:hint="eastAsia" w:ascii="宋体" w:hAnsi="宋体" w:eastAsia="仿宋_GB2312" w:cs="宋体"/>
                <w:kern w:val="0"/>
                <w:szCs w:val="21"/>
                <w:lang w:val="en-US" w:eastAsia="zh-CN"/>
              </w:rPr>
            </w:pPr>
            <w:r>
              <w:rPr>
                <w:rFonts w:hint="eastAsia" w:ascii="宋体" w:hAnsi="宋体" w:cs="宋体"/>
                <w:kern w:val="0"/>
                <w:szCs w:val="21"/>
                <w:lang w:val="en-US" w:eastAsia="zh-CN"/>
              </w:rPr>
              <w:t>0</w:t>
            </w:r>
          </w:p>
        </w:tc>
        <w:tc>
          <w:tcPr>
            <w:tcW w:w="2220" w:type="dxa"/>
            <w:tcBorders>
              <w:top w:val="nil"/>
              <w:left w:val="nil"/>
              <w:bottom w:val="single" w:color="auto" w:sz="4" w:space="0"/>
              <w:right w:val="single" w:color="auto" w:sz="4" w:space="0"/>
            </w:tcBorders>
            <w:noWrap w:val="0"/>
            <w:vAlign w:val="bottom"/>
          </w:tcPr>
          <w:p w14:paraId="23F97244">
            <w:pPr>
              <w:widowControl/>
              <w:jc w:val="center"/>
              <w:rPr>
                <w:rFonts w:hint="default" w:ascii="宋体" w:hAnsi="宋体" w:eastAsia="仿宋_GB2312" w:cs="宋体"/>
                <w:kern w:val="0"/>
                <w:szCs w:val="21"/>
                <w:lang w:val="en-US" w:eastAsia="zh-CN"/>
              </w:rPr>
            </w:pPr>
            <w:r>
              <w:rPr>
                <w:rFonts w:hint="eastAsia" w:ascii="宋体" w:hAnsi="宋体" w:cs="宋体"/>
                <w:kern w:val="0"/>
                <w:szCs w:val="21"/>
                <w:lang w:val="en-US" w:eastAsia="zh-CN"/>
              </w:rPr>
              <w:t>0</w:t>
            </w:r>
          </w:p>
        </w:tc>
      </w:tr>
      <w:tr w14:paraId="4DE821D0">
        <w:tblPrEx>
          <w:tblCellMar>
            <w:top w:w="0" w:type="dxa"/>
            <w:left w:w="108" w:type="dxa"/>
            <w:bottom w:w="0" w:type="dxa"/>
            <w:right w:w="108" w:type="dxa"/>
          </w:tblCellMar>
        </w:tblPrEx>
        <w:trPr>
          <w:trHeight w:val="397" w:hRule="atLeast"/>
        </w:trPr>
        <w:tc>
          <w:tcPr>
            <w:tcW w:w="4379" w:type="dxa"/>
            <w:tcBorders>
              <w:top w:val="nil"/>
              <w:left w:val="single" w:color="auto" w:sz="4" w:space="0"/>
              <w:bottom w:val="single" w:color="auto" w:sz="4" w:space="0"/>
              <w:right w:val="single" w:color="auto" w:sz="4" w:space="0"/>
            </w:tcBorders>
            <w:noWrap w:val="0"/>
            <w:vAlign w:val="center"/>
          </w:tcPr>
          <w:p w14:paraId="0193759E">
            <w:pPr>
              <w:widowControl/>
              <w:jc w:val="left"/>
              <w:rPr>
                <w:rFonts w:ascii="宋体" w:hAnsi="宋体" w:cs="宋体"/>
                <w:kern w:val="0"/>
                <w:szCs w:val="21"/>
              </w:rPr>
            </w:pPr>
            <w:r>
              <w:rPr>
                <w:rFonts w:hint="eastAsia" w:ascii="宋体" w:hAnsi="宋体" w:cs="宋体"/>
                <w:kern w:val="0"/>
                <w:szCs w:val="21"/>
              </w:rPr>
              <w:t>公务接待费</w:t>
            </w:r>
          </w:p>
        </w:tc>
        <w:tc>
          <w:tcPr>
            <w:tcW w:w="2157" w:type="dxa"/>
            <w:tcBorders>
              <w:top w:val="nil"/>
              <w:left w:val="nil"/>
              <w:bottom w:val="single" w:color="auto" w:sz="4" w:space="0"/>
              <w:right w:val="single" w:color="auto" w:sz="4" w:space="0"/>
            </w:tcBorders>
            <w:noWrap w:val="0"/>
            <w:vAlign w:val="bottom"/>
          </w:tcPr>
          <w:p w14:paraId="3B90BF87">
            <w:pPr>
              <w:widowControl/>
              <w:jc w:val="center"/>
              <w:rPr>
                <w:rFonts w:hint="eastAsia" w:ascii="宋体" w:hAnsi="宋体" w:eastAsia="仿宋_GB2312" w:cs="宋体"/>
                <w:kern w:val="0"/>
                <w:szCs w:val="21"/>
                <w:lang w:val="en-US" w:eastAsia="zh-CN"/>
              </w:rPr>
            </w:pPr>
            <w:r>
              <w:rPr>
                <w:rFonts w:hint="eastAsia" w:ascii="宋体" w:hAnsi="宋体" w:cs="宋体"/>
                <w:kern w:val="0"/>
                <w:szCs w:val="21"/>
                <w:lang w:val="en-US" w:eastAsia="zh-CN"/>
              </w:rPr>
              <w:t>0</w:t>
            </w:r>
          </w:p>
        </w:tc>
        <w:tc>
          <w:tcPr>
            <w:tcW w:w="2220" w:type="dxa"/>
            <w:tcBorders>
              <w:top w:val="nil"/>
              <w:left w:val="nil"/>
              <w:bottom w:val="single" w:color="auto" w:sz="4" w:space="0"/>
              <w:right w:val="single" w:color="auto" w:sz="4" w:space="0"/>
            </w:tcBorders>
            <w:noWrap w:val="0"/>
            <w:vAlign w:val="bottom"/>
          </w:tcPr>
          <w:p w14:paraId="7422DF1D">
            <w:pPr>
              <w:widowControl/>
              <w:jc w:val="center"/>
              <w:rPr>
                <w:rFonts w:hint="default" w:ascii="宋体" w:hAnsi="宋体" w:eastAsia="仿宋_GB2312" w:cs="宋体"/>
                <w:kern w:val="0"/>
                <w:szCs w:val="21"/>
                <w:lang w:val="en-US" w:eastAsia="zh-CN"/>
              </w:rPr>
            </w:pPr>
            <w:r>
              <w:rPr>
                <w:rFonts w:hint="eastAsia" w:ascii="宋体" w:hAnsi="宋体" w:cs="宋体"/>
                <w:kern w:val="0"/>
                <w:szCs w:val="21"/>
                <w:lang w:val="en-US" w:eastAsia="zh-CN"/>
              </w:rPr>
              <w:t>0</w:t>
            </w:r>
          </w:p>
        </w:tc>
      </w:tr>
      <w:tr w14:paraId="13A7965C">
        <w:tblPrEx>
          <w:tblCellMar>
            <w:top w:w="0" w:type="dxa"/>
            <w:left w:w="108" w:type="dxa"/>
            <w:bottom w:w="0" w:type="dxa"/>
            <w:right w:w="108" w:type="dxa"/>
          </w:tblCellMar>
        </w:tblPrEx>
        <w:trPr>
          <w:trHeight w:val="397" w:hRule="atLeast"/>
        </w:trPr>
        <w:tc>
          <w:tcPr>
            <w:tcW w:w="4379" w:type="dxa"/>
            <w:tcBorders>
              <w:top w:val="nil"/>
              <w:left w:val="single" w:color="auto" w:sz="4" w:space="0"/>
              <w:bottom w:val="single" w:color="auto" w:sz="4" w:space="0"/>
              <w:right w:val="single" w:color="auto" w:sz="4" w:space="0"/>
            </w:tcBorders>
            <w:noWrap w:val="0"/>
            <w:vAlign w:val="center"/>
          </w:tcPr>
          <w:p w14:paraId="78E968B4">
            <w:pPr>
              <w:widowControl/>
              <w:jc w:val="left"/>
              <w:rPr>
                <w:rFonts w:ascii="宋体" w:hAnsi="宋体" w:cs="宋体"/>
                <w:kern w:val="0"/>
                <w:szCs w:val="21"/>
              </w:rPr>
            </w:pPr>
            <w:r>
              <w:rPr>
                <w:rFonts w:hint="eastAsia" w:ascii="宋体" w:hAnsi="宋体" w:cs="宋体"/>
                <w:kern w:val="0"/>
                <w:szCs w:val="21"/>
              </w:rPr>
              <w:t>公务用车购置及运行维护费</w:t>
            </w:r>
          </w:p>
        </w:tc>
        <w:tc>
          <w:tcPr>
            <w:tcW w:w="2157" w:type="dxa"/>
            <w:tcBorders>
              <w:top w:val="nil"/>
              <w:left w:val="nil"/>
              <w:bottom w:val="single" w:color="auto" w:sz="4" w:space="0"/>
              <w:right w:val="single" w:color="auto" w:sz="4" w:space="0"/>
            </w:tcBorders>
            <w:noWrap w:val="0"/>
            <w:vAlign w:val="bottom"/>
          </w:tcPr>
          <w:p w14:paraId="555753BB">
            <w:pPr>
              <w:widowControl/>
              <w:jc w:val="center"/>
              <w:rPr>
                <w:rFonts w:hint="eastAsia" w:ascii="宋体" w:hAnsi="宋体" w:eastAsia="仿宋_GB2312" w:cs="宋体"/>
                <w:kern w:val="0"/>
                <w:szCs w:val="21"/>
                <w:lang w:val="en-US" w:eastAsia="zh-CN"/>
              </w:rPr>
            </w:pPr>
            <w:r>
              <w:rPr>
                <w:rFonts w:hint="eastAsia" w:ascii="宋体" w:hAnsi="宋体" w:cs="宋体"/>
                <w:kern w:val="0"/>
                <w:szCs w:val="21"/>
                <w:lang w:val="en-US" w:eastAsia="zh-CN"/>
              </w:rPr>
              <w:t>0</w:t>
            </w:r>
          </w:p>
        </w:tc>
        <w:tc>
          <w:tcPr>
            <w:tcW w:w="2220" w:type="dxa"/>
            <w:tcBorders>
              <w:top w:val="nil"/>
              <w:left w:val="nil"/>
              <w:bottom w:val="single" w:color="auto" w:sz="4" w:space="0"/>
              <w:right w:val="single" w:color="auto" w:sz="4" w:space="0"/>
            </w:tcBorders>
            <w:noWrap w:val="0"/>
            <w:vAlign w:val="bottom"/>
          </w:tcPr>
          <w:p w14:paraId="485C444C">
            <w:pPr>
              <w:widowControl/>
              <w:jc w:val="center"/>
              <w:rPr>
                <w:rFonts w:hint="default" w:ascii="宋体" w:hAnsi="宋体" w:eastAsia="仿宋_GB2312" w:cs="宋体"/>
                <w:kern w:val="0"/>
                <w:szCs w:val="21"/>
                <w:lang w:val="en-US" w:eastAsia="zh-CN"/>
              </w:rPr>
            </w:pPr>
            <w:r>
              <w:rPr>
                <w:rFonts w:hint="eastAsia" w:ascii="宋体" w:hAnsi="宋体" w:cs="宋体"/>
                <w:kern w:val="0"/>
                <w:szCs w:val="21"/>
                <w:lang w:val="en-US" w:eastAsia="zh-CN"/>
              </w:rPr>
              <w:t>0</w:t>
            </w:r>
          </w:p>
        </w:tc>
      </w:tr>
      <w:tr w14:paraId="45E41867">
        <w:tblPrEx>
          <w:tblCellMar>
            <w:top w:w="0" w:type="dxa"/>
            <w:left w:w="108" w:type="dxa"/>
            <w:bottom w:w="0" w:type="dxa"/>
            <w:right w:w="108" w:type="dxa"/>
          </w:tblCellMar>
        </w:tblPrEx>
        <w:trPr>
          <w:trHeight w:val="397" w:hRule="atLeast"/>
        </w:trPr>
        <w:tc>
          <w:tcPr>
            <w:tcW w:w="4379" w:type="dxa"/>
            <w:tcBorders>
              <w:top w:val="nil"/>
              <w:left w:val="single" w:color="auto" w:sz="4" w:space="0"/>
              <w:bottom w:val="single" w:color="auto" w:sz="4" w:space="0"/>
              <w:right w:val="single" w:color="auto" w:sz="4" w:space="0"/>
            </w:tcBorders>
            <w:noWrap w:val="0"/>
            <w:vAlign w:val="center"/>
          </w:tcPr>
          <w:p w14:paraId="39BDBDEC">
            <w:pPr>
              <w:widowControl/>
              <w:jc w:val="left"/>
              <w:rPr>
                <w:rFonts w:ascii="宋体" w:hAnsi="宋体" w:cs="宋体"/>
                <w:kern w:val="0"/>
                <w:szCs w:val="21"/>
              </w:rPr>
            </w:pPr>
            <w:r>
              <w:rPr>
                <w:rFonts w:hint="eastAsia" w:ascii="宋体" w:hAnsi="宋体" w:cs="宋体"/>
                <w:kern w:val="0"/>
                <w:szCs w:val="21"/>
              </w:rPr>
              <w:t xml:space="preserve">  其中：公务用车购置费</w:t>
            </w:r>
          </w:p>
        </w:tc>
        <w:tc>
          <w:tcPr>
            <w:tcW w:w="2157" w:type="dxa"/>
            <w:tcBorders>
              <w:top w:val="nil"/>
              <w:left w:val="nil"/>
              <w:bottom w:val="single" w:color="auto" w:sz="4" w:space="0"/>
              <w:right w:val="single" w:color="auto" w:sz="4" w:space="0"/>
            </w:tcBorders>
            <w:noWrap w:val="0"/>
            <w:vAlign w:val="bottom"/>
          </w:tcPr>
          <w:p w14:paraId="11DBC0CE">
            <w:pPr>
              <w:widowControl/>
              <w:jc w:val="center"/>
              <w:rPr>
                <w:rFonts w:hint="eastAsia" w:ascii="宋体" w:hAnsi="宋体" w:eastAsia="仿宋_GB2312" w:cs="宋体"/>
                <w:kern w:val="0"/>
                <w:szCs w:val="21"/>
                <w:lang w:val="en-US" w:eastAsia="zh-CN"/>
              </w:rPr>
            </w:pPr>
            <w:r>
              <w:rPr>
                <w:rFonts w:hint="eastAsia" w:ascii="宋体" w:hAnsi="宋体" w:cs="宋体"/>
                <w:kern w:val="0"/>
                <w:szCs w:val="21"/>
                <w:lang w:val="en-US" w:eastAsia="zh-CN"/>
              </w:rPr>
              <w:t>0</w:t>
            </w:r>
          </w:p>
        </w:tc>
        <w:tc>
          <w:tcPr>
            <w:tcW w:w="2220" w:type="dxa"/>
            <w:tcBorders>
              <w:top w:val="nil"/>
              <w:left w:val="nil"/>
              <w:bottom w:val="single" w:color="auto" w:sz="4" w:space="0"/>
              <w:right w:val="single" w:color="auto" w:sz="4" w:space="0"/>
            </w:tcBorders>
            <w:noWrap w:val="0"/>
            <w:vAlign w:val="bottom"/>
          </w:tcPr>
          <w:p w14:paraId="62314A81">
            <w:pPr>
              <w:widowControl/>
              <w:jc w:val="center"/>
              <w:rPr>
                <w:rFonts w:hint="default" w:ascii="宋体" w:hAnsi="宋体" w:eastAsia="仿宋_GB2312" w:cs="宋体"/>
                <w:kern w:val="0"/>
                <w:szCs w:val="21"/>
                <w:lang w:val="en-US" w:eastAsia="zh-CN"/>
              </w:rPr>
            </w:pPr>
            <w:r>
              <w:rPr>
                <w:rFonts w:hint="eastAsia" w:ascii="宋体" w:hAnsi="宋体" w:cs="宋体"/>
                <w:kern w:val="0"/>
                <w:szCs w:val="21"/>
                <w:lang w:val="en-US" w:eastAsia="zh-CN"/>
              </w:rPr>
              <w:t>0</w:t>
            </w:r>
          </w:p>
        </w:tc>
      </w:tr>
      <w:tr w14:paraId="6CD7368C">
        <w:tblPrEx>
          <w:tblCellMar>
            <w:top w:w="0" w:type="dxa"/>
            <w:left w:w="108" w:type="dxa"/>
            <w:bottom w:w="0" w:type="dxa"/>
            <w:right w:w="108" w:type="dxa"/>
          </w:tblCellMar>
        </w:tblPrEx>
        <w:trPr>
          <w:trHeight w:val="397" w:hRule="atLeast"/>
        </w:trPr>
        <w:tc>
          <w:tcPr>
            <w:tcW w:w="4379" w:type="dxa"/>
            <w:tcBorders>
              <w:top w:val="nil"/>
              <w:left w:val="single" w:color="auto" w:sz="4" w:space="0"/>
              <w:bottom w:val="single" w:color="auto" w:sz="4" w:space="0"/>
              <w:right w:val="single" w:color="auto" w:sz="4" w:space="0"/>
            </w:tcBorders>
            <w:noWrap w:val="0"/>
            <w:vAlign w:val="center"/>
          </w:tcPr>
          <w:p w14:paraId="34F10ABD">
            <w:pPr>
              <w:widowControl/>
              <w:jc w:val="left"/>
              <w:rPr>
                <w:rFonts w:ascii="宋体" w:hAnsi="宋体" w:cs="宋体"/>
                <w:kern w:val="0"/>
                <w:szCs w:val="21"/>
              </w:rPr>
            </w:pPr>
            <w:r>
              <w:rPr>
                <w:rFonts w:hint="eastAsia" w:ascii="宋体" w:hAnsi="宋体" w:cs="宋体"/>
                <w:kern w:val="0"/>
                <w:szCs w:val="21"/>
              </w:rPr>
              <w:t xml:space="preserve">        公务用车运行维护费 </w:t>
            </w:r>
          </w:p>
        </w:tc>
        <w:tc>
          <w:tcPr>
            <w:tcW w:w="2157" w:type="dxa"/>
            <w:tcBorders>
              <w:top w:val="nil"/>
              <w:left w:val="nil"/>
              <w:bottom w:val="single" w:color="auto" w:sz="4" w:space="0"/>
              <w:right w:val="single" w:color="auto" w:sz="4" w:space="0"/>
            </w:tcBorders>
            <w:noWrap w:val="0"/>
            <w:vAlign w:val="bottom"/>
          </w:tcPr>
          <w:p w14:paraId="092C7AA7">
            <w:pPr>
              <w:widowControl/>
              <w:jc w:val="center"/>
              <w:rPr>
                <w:rFonts w:hint="default" w:ascii="宋体" w:hAnsi="宋体" w:eastAsia="仿宋_GB2312" w:cs="宋体"/>
                <w:kern w:val="0"/>
                <w:szCs w:val="21"/>
                <w:lang w:val="en-US" w:eastAsia="zh-CN"/>
              </w:rPr>
            </w:pPr>
            <w:r>
              <w:rPr>
                <w:rFonts w:hint="eastAsia" w:ascii="宋体" w:hAnsi="宋体" w:cs="宋体"/>
                <w:kern w:val="0"/>
                <w:szCs w:val="21"/>
                <w:lang w:val="en-US" w:eastAsia="zh-CN"/>
              </w:rPr>
              <w:t>0</w:t>
            </w:r>
          </w:p>
        </w:tc>
        <w:tc>
          <w:tcPr>
            <w:tcW w:w="2220" w:type="dxa"/>
            <w:tcBorders>
              <w:top w:val="nil"/>
              <w:left w:val="nil"/>
              <w:bottom w:val="single" w:color="auto" w:sz="4" w:space="0"/>
              <w:right w:val="single" w:color="auto" w:sz="4" w:space="0"/>
            </w:tcBorders>
            <w:noWrap w:val="0"/>
            <w:vAlign w:val="bottom"/>
          </w:tcPr>
          <w:p w14:paraId="4FB1C621">
            <w:pPr>
              <w:widowControl/>
              <w:jc w:val="center"/>
              <w:rPr>
                <w:rFonts w:hint="eastAsia" w:ascii="宋体" w:hAnsi="宋体" w:eastAsia="仿宋_GB2312" w:cs="宋体"/>
                <w:kern w:val="0"/>
                <w:szCs w:val="21"/>
                <w:lang w:val="en-US" w:eastAsia="zh-CN"/>
              </w:rPr>
            </w:pPr>
            <w:r>
              <w:rPr>
                <w:rFonts w:hint="eastAsia" w:ascii="宋体" w:hAnsi="宋体" w:cs="宋体"/>
                <w:kern w:val="0"/>
                <w:szCs w:val="21"/>
                <w:lang w:val="en-US" w:eastAsia="zh-CN"/>
              </w:rPr>
              <w:t>0</w:t>
            </w:r>
          </w:p>
        </w:tc>
      </w:tr>
    </w:tbl>
    <w:p w14:paraId="46487897">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both"/>
        <w:textAlignment w:val="auto"/>
        <w:outlineLvl w:val="9"/>
        <w:rPr>
          <w:rFonts w:hint="eastAsia" w:ascii="仿宋_GB2312" w:hAnsi="仿宋"/>
          <w:sz w:val="21"/>
          <w:szCs w:val="21"/>
          <w:lang w:val="en-US" w:eastAsia="zh-CN"/>
        </w:rPr>
      </w:pPr>
    </w:p>
    <w:p w14:paraId="4FBFD97D">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both"/>
        <w:textAlignment w:val="auto"/>
        <w:outlineLvl w:val="9"/>
        <w:rPr>
          <w:rFonts w:hint="eastAsia" w:ascii="黑体" w:hAnsi="黑体" w:eastAsia="黑体"/>
          <w:szCs w:val="32"/>
        </w:rPr>
      </w:pPr>
      <w:r>
        <w:rPr>
          <w:rFonts w:hint="eastAsia" w:ascii="仿宋_GB2312" w:hAnsi="仿宋"/>
          <w:sz w:val="21"/>
          <w:szCs w:val="21"/>
          <w:lang w:val="en-US" w:eastAsia="zh-CN"/>
        </w:rPr>
        <w:t>注：本表反映单位本年度一般公共预算财政拨款“三公”经费支出预决算情况。其中，预算数为“三公”经费全年预算数，反映按规定程序调整后的预算数;决算数是包括当年一般公共预算财政拨款和以前年度结转资金安排的实际支出。</w:t>
      </w:r>
      <w:r>
        <w:rPr>
          <w:rFonts w:hint="eastAsia" w:ascii="仿宋_GB2312" w:hAnsi="仿宋"/>
          <w:sz w:val="21"/>
          <w:szCs w:val="21"/>
          <w:lang w:eastAsia="zh-CN"/>
        </w:rPr>
        <w:t xml:space="preserve"> </w:t>
      </w:r>
      <w:r>
        <w:rPr>
          <w:rFonts w:hint="eastAsia" w:ascii="仿宋_GB2312" w:hAnsi="仿宋"/>
          <w:szCs w:val="32"/>
          <w:lang w:eastAsia="zh-CN"/>
        </w:rPr>
        <w:t xml:space="preserve">  </w:t>
      </w:r>
      <w:r>
        <w:rPr>
          <w:rFonts w:hint="eastAsia" w:ascii="黑体" w:hAnsi="黑体" w:eastAsia="黑体"/>
          <w:szCs w:val="32"/>
        </w:rPr>
        <w:t xml:space="preserve">                                    </w:t>
      </w:r>
    </w:p>
    <w:p w14:paraId="29F7BC3D">
      <w:pPr>
        <w:rPr>
          <w:rFonts w:hint="eastAsia" w:ascii="黑体" w:hAnsi="黑体" w:eastAsia="黑体"/>
          <w:szCs w:val="32"/>
        </w:rPr>
      </w:pPr>
      <w:r>
        <w:rPr>
          <w:rFonts w:ascii="黑体" w:hAnsi="黑体" w:eastAsia="黑体"/>
          <w:szCs w:val="32"/>
        </w:rPr>
        <w:t xml:space="preserve">    </w:t>
      </w:r>
      <w:r>
        <w:rPr>
          <w:rFonts w:hint="eastAsia" w:ascii="黑体" w:hAnsi="黑体" w:eastAsia="黑体"/>
          <w:szCs w:val="32"/>
        </w:rPr>
        <w:t>二</w:t>
      </w:r>
      <w:r>
        <w:rPr>
          <w:rFonts w:ascii="黑体" w:hAnsi="黑体" w:eastAsia="黑体"/>
          <w:szCs w:val="32"/>
        </w:rPr>
        <w:t>、</w:t>
      </w:r>
      <w:r>
        <w:rPr>
          <w:rFonts w:hint="eastAsia" w:ascii="黑体" w:hAnsi="黑体" w:eastAsia="黑体"/>
          <w:szCs w:val="32"/>
          <w:lang w:eastAsia="zh-CN"/>
        </w:rPr>
        <w:t>202</w:t>
      </w:r>
      <w:r>
        <w:rPr>
          <w:rFonts w:hint="eastAsia" w:ascii="黑体" w:hAnsi="黑体" w:eastAsia="黑体"/>
          <w:szCs w:val="32"/>
          <w:lang w:val="en-US" w:eastAsia="zh-CN"/>
        </w:rPr>
        <w:t>3</w:t>
      </w:r>
      <w:r>
        <w:rPr>
          <w:rFonts w:ascii="黑体" w:hAnsi="黑体" w:eastAsia="黑体"/>
          <w:szCs w:val="32"/>
        </w:rPr>
        <w:t>年</w:t>
      </w:r>
      <w:r>
        <w:rPr>
          <w:rFonts w:hint="eastAsia" w:ascii="黑体" w:hAnsi="黑体" w:eastAsia="黑体"/>
          <w:szCs w:val="32"/>
        </w:rPr>
        <w:t>度一般公共预算财政拨款“三公”经费支出</w:t>
      </w:r>
      <w:r>
        <w:rPr>
          <w:rFonts w:ascii="黑体" w:hAnsi="黑体" w:eastAsia="黑体"/>
          <w:szCs w:val="32"/>
        </w:rPr>
        <w:t>情况说明</w:t>
      </w:r>
    </w:p>
    <w:p w14:paraId="0B321F1F">
      <w:pPr>
        <w:ind w:firstLine="628" w:firstLineChars="200"/>
        <w:rPr>
          <w:rFonts w:hint="eastAsia" w:ascii="仿宋_GB2312" w:hAnsi="仿宋"/>
          <w:b/>
          <w:szCs w:val="32"/>
        </w:rPr>
      </w:pPr>
      <w:r>
        <w:rPr>
          <w:rFonts w:hint="eastAsia" w:ascii="仿宋_GB2312" w:hAnsi="仿宋"/>
          <w:b/>
          <w:szCs w:val="32"/>
        </w:rPr>
        <w:t>（一）一般公共预算财政拨款“三公”经费支出决算总体情况说明。</w:t>
      </w:r>
    </w:p>
    <w:p w14:paraId="12E45F2D">
      <w:pPr>
        <w:ind w:firstLine="628" w:firstLineChars="200"/>
        <w:rPr>
          <w:rFonts w:hint="eastAsia" w:ascii="仿宋_GB2312" w:hAnsi="仿宋"/>
          <w:szCs w:val="32"/>
          <w:lang w:val="en-US" w:eastAsia="zh-CN"/>
        </w:rPr>
      </w:pPr>
      <w:r>
        <w:rPr>
          <w:rFonts w:hint="eastAsia" w:ascii="仿宋_GB2312" w:hAnsi="仿宋" w:cs="Times New Roman"/>
          <w:szCs w:val="32"/>
          <w:lang w:eastAsia="zh-CN"/>
        </w:rPr>
        <w:t>淮北市中医医院</w:t>
      </w:r>
      <w:r>
        <w:rPr>
          <w:rFonts w:hint="eastAsia" w:ascii="仿宋_GB2312" w:hAnsi="仿宋"/>
          <w:szCs w:val="32"/>
          <w:lang w:eastAsia="zh-CN"/>
        </w:rPr>
        <w:t>202</w:t>
      </w:r>
      <w:r>
        <w:rPr>
          <w:rFonts w:hint="eastAsia" w:ascii="仿宋_GB2312" w:hAnsi="仿宋"/>
          <w:szCs w:val="32"/>
          <w:lang w:val="en-US" w:eastAsia="zh-CN"/>
        </w:rPr>
        <w:t>3</w:t>
      </w:r>
      <w:r>
        <w:rPr>
          <w:rFonts w:hint="eastAsia" w:ascii="仿宋_GB2312" w:hAnsi="仿宋"/>
          <w:szCs w:val="32"/>
        </w:rPr>
        <w:t>年度一般公共预算财政拨款“三公”经费支出预算为</w:t>
      </w:r>
      <w:r>
        <w:rPr>
          <w:rFonts w:hint="eastAsia" w:ascii="仿宋_GB2312" w:hAnsi="仿宋"/>
          <w:szCs w:val="32"/>
          <w:lang w:val="en-US" w:eastAsia="zh-CN"/>
        </w:rPr>
        <w:t>0</w:t>
      </w:r>
      <w:r>
        <w:rPr>
          <w:rFonts w:hint="eastAsia" w:ascii="仿宋_GB2312" w:hAnsi="仿宋"/>
          <w:szCs w:val="32"/>
        </w:rPr>
        <w:t>万元，支出决算为</w:t>
      </w:r>
      <w:r>
        <w:rPr>
          <w:rFonts w:hint="eastAsia" w:ascii="仿宋_GB2312" w:hAnsi="仿宋"/>
          <w:szCs w:val="32"/>
          <w:lang w:val="en-US" w:eastAsia="zh-CN"/>
        </w:rPr>
        <w:t>0</w:t>
      </w:r>
      <w:r>
        <w:rPr>
          <w:rFonts w:hint="eastAsia" w:ascii="仿宋_GB2312" w:hAnsi="仿宋"/>
          <w:szCs w:val="32"/>
        </w:rPr>
        <w:t>万元，</w:t>
      </w:r>
      <w:r>
        <w:rPr>
          <w:rFonts w:hint="eastAsia" w:ascii="仿宋_GB2312" w:hAnsi="仿宋"/>
          <w:szCs w:val="32"/>
          <w:lang w:val="en-US" w:eastAsia="zh-CN"/>
        </w:rPr>
        <w:t>与年初预算持平，与上年数持平。</w:t>
      </w:r>
    </w:p>
    <w:p w14:paraId="49D2551C">
      <w:pPr>
        <w:ind w:firstLine="628" w:firstLineChars="200"/>
        <w:rPr>
          <w:rFonts w:hint="eastAsia" w:ascii="仿宋_GB2312" w:hAnsi="仿宋"/>
          <w:b/>
          <w:szCs w:val="32"/>
        </w:rPr>
      </w:pPr>
      <w:r>
        <w:rPr>
          <w:rFonts w:hint="eastAsia" w:ascii="仿宋_GB2312" w:hAnsi="仿宋"/>
          <w:b/>
          <w:bCs/>
          <w:szCs w:val="32"/>
        </w:rPr>
        <w:t>（二）</w:t>
      </w:r>
      <w:r>
        <w:rPr>
          <w:rFonts w:hint="eastAsia" w:ascii="仿宋_GB2312" w:hAnsi="仿宋"/>
          <w:b/>
          <w:szCs w:val="32"/>
        </w:rPr>
        <w:t>一般公共预算财政拨款“三公”经费支出决算具体情况说明。</w:t>
      </w:r>
    </w:p>
    <w:p w14:paraId="6D9740E4">
      <w:pPr>
        <w:ind w:firstLine="628" w:firstLineChars="200"/>
        <w:rPr>
          <w:rFonts w:hint="eastAsia" w:ascii="仿宋_GB2312" w:hAnsi="仿宋"/>
          <w:szCs w:val="32"/>
        </w:rPr>
      </w:pPr>
      <w:r>
        <w:rPr>
          <w:rFonts w:hint="eastAsia" w:ascii="仿宋_GB2312" w:hAnsi="仿宋" w:cs="Times New Roman"/>
          <w:szCs w:val="32"/>
          <w:lang w:eastAsia="zh-CN"/>
        </w:rPr>
        <w:t>淮北市中医医院</w:t>
      </w:r>
      <w:r>
        <w:rPr>
          <w:rFonts w:hint="eastAsia" w:ascii="仿宋_GB2312" w:hAnsi="仿宋"/>
          <w:szCs w:val="32"/>
          <w:lang w:eastAsia="zh-CN"/>
        </w:rPr>
        <w:t>202</w:t>
      </w:r>
      <w:r>
        <w:rPr>
          <w:rFonts w:hint="eastAsia" w:ascii="仿宋_GB2312" w:hAnsi="仿宋"/>
          <w:szCs w:val="32"/>
          <w:lang w:val="en-US" w:eastAsia="zh-CN"/>
        </w:rPr>
        <w:t>3</w:t>
      </w:r>
      <w:r>
        <w:rPr>
          <w:rFonts w:hint="eastAsia" w:ascii="仿宋_GB2312" w:hAnsi="仿宋"/>
          <w:szCs w:val="32"/>
        </w:rPr>
        <w:t>年度一般公共预算财政拨款“三公”经费支出决算中，因公出国（境）费支出决算</w:t>
      </w:r>
      <w:r>
        <w:rPr>
          <w:rFonts w:hint="eastAsia" w:ascii="仿宋_GB2312" w:hAnsi="仿宋"/>
          <w:szCs w:val="32"/>
          <w:lang w:val="en-US" w:eastAsia="zh-CN"/>
        </w:rPr>
        <w:t>0</w:t>
      </w:r>
      <w:r>
        <w:rPr>
          <w:rFonts w:hint="eastAsia" w:ascii="仿宋_GB2312" w:hAnsi="仿宋"/>
          <w:szCs w:val="32"/>
        </w:rPr>
        <w:t>万元，占</w:t>
      </w:r>
      <w:r>
        <w:rPr>
          <w:rFonts w:hint="eastAsia" w:ascii="仿宋_GB2312" w:hAnsi="仿宋"/>
          <w:szCs w:val="32"/>
          <w:lang w:val="en-US" w:eastAsia="zh-CN"/>
        </w:rPr>
        <w:t>0</w:t>
      </w:r>
      <w:r>
        <w:rPr>
          <w:rFonts w:hint="eastAsia" w:ascii="仿宋_GB2312" w:hAnsi="仿宋"/>
          <w:szCs w:val="32"/>
        </w:rPr>
        <w:t>%;公务接待费支出决算</w:t>
      </w:r>
      <w:r>
        <w:rPr>
          <w:rFonts w:hint="eastAsia" w:ascii="仿宋_GB2312" w:hAnsi="仿宋"/>
          <w:szCs w:val="32"/>
          <w:lang w:val="en-US" w:eastAsia="zh-CN"/>
        </w:rPr>
        <w:t>0</w:t>
      </w:r>
      <w:r>
        <w:rPr>
          <w:rFonts w:hint="eastAsia" w:ascii="仿宋_GB2312" w:hAnsi="仿宋"/>
          <w:szCs w:val="32"/>
        </w:rPr>
        <w:t>万元，占</w:t>
      </w:r>
      <w:r>
        <w:rPr>
          <w:rFonts w:hint="eastAsia" w:ascii="仿宋_GB2312" w:hAnsi="仿宋"/>
          <w:szCs w:val="32"/>
          <w:lang w:val="en-US" w:eastAsia="zh-CN"/>
        </w:rPr>
        <w:t>0</w:t>
      </w:r>
      <w:r>
        <w:rPr>
          <w:rFonts w:hint="eastAsia" w:ascii="仿宋_GB2312" w:hAnsi="仿宋"/>
          <w:szCs w:val="32"/>
        </w:rPr>
        <w:t>%；公务用车购置及运行维护费支出决算</w:t>
      </w:r>
      <w:r>
        <w:rPr>
          <w:rFonts w:hint="eastAsia" w:ascii="仿宋_GB2312" w:hAnsi="仿宋"/>
          <w:szCs w:val="32"/>
          <w:lang w:val="en-US" w:eastAsia="zh-CN"/>
        </w:rPr>
        <w:t>0</w:t>
      </w:r>
      <w:r>
        <w:rPr>
          <w:rFonts w:hint="eastAsia" w:ascii="仿宋_GB2312" w:hAnsi="仿宋"/>
          <w:szCs w:val="32"/>
        </w:rPr>
        <w:t>万元，占</w:t>
      </w:r>
      <w:r>
        <w:rPr>
          <w:rFonts w:hint="eastAsia" w:ascii="仿宋_GB2312" w:hAnsi="仿宋"/>
          <w:szCs w:val="32"/>
          <w:lang w:val="en-US" w:eastAsia="zh-CN"/>
        </w:rPr>
        <w:t>0</w:t>
      </w:r>
      <w:r>
        <w:rPr>
          <w:rFonts w:hint="eastAsia" w:ascii="仿宋_GB2312" w:hAnsi="仿宋"/>
          <w:szCs w:val="32"/>
        </w:rPr>
        <w:t>%。具体情况如下：</w:t>
      </w:r>
    </w:p>
    <w:p w14:paraId="6442A0A8">
      <w:pPr>
        <w:ind w:firstLine="628"/>
        <w:rPr>
          <w:rFonts w:hint="eastAsia" w:ascii="仿宋_GB2312" w:hAnsi="仿宋"/>
          <w:szCs w:val="32"/>
        </w:rPr>
      </w:pPr>
      <w:r>
        <w:rPr>
          <w:rFonts w:hint="eastAsia" w:ascii="仿宋_GB2312" w:hAnsi="仿宋"/>
          <w:b/>
          <w:bCs/>
          <w:szCs w:val="32"/>
        </w:rPr>
        <w:t>1.因公出国（境）费</w:t>
      </w:r>
      <w:r>
        <w:rPr>
          <w:rFonts w:hint="eastAsia" w:ascii="仿宋_GB2312" w:hAnsi="仿宋"/>
          <w:szCs w:val="32"/>
          <w:lang w:eastAsia="zh-CN"/>
        </w:rPr>
        <w:t>预算为</w:t>
      </w:r>
      <w:r>
        <w:rPr>
          <w:rFonts w:hint="eastAsia" w:ascii="仿宋_GB2312" w:hAnsi="仿宋"/>
          <w:szCs w:val="32"/>
          <w:lang w:val="en-US" w:eastAsia="zh-CN"/>
        </w:rPr>
        <w:t>0</w:t>
      </w:r>
      <w:r>
        <w:rPr>
          <w:rFonts w:hint="eastAsia" w:ascii="仿宋_GB2312" w:hAnsi="仿宋"/>
          <w:szCs w:val="32"/>
          <w:lang w:eastAsia="zh-CN"/>
        </w:rPr>
        <w:t>万元，支出决算为</w:t>
      </w:r>
      <w:r>
        <w:rPr>
          <w:rFonts w:hint="eastAsia" w:ascii="仿宋_GB2312" w:hAnsi="仿宋"/>
          <w:szCs w:val="32"/>
          <w:lang w:val="en-US" w:eastAsia="zh-CN"/>
        </w:rPr>
        <w:t>0万元</w:t>
      </w:r>
      <w:r>
        <w:rPr>
          <w:rFonts w:hint="eastAsia" w:ascii="仿宋_GB2312" w:hAnsi="仿宋"/>
          <w:szCs w:val="32"/>
          <w:lang w:eastAsia="zh-CN"/>
        </w:rPr>
        <w:t>，完成预算的</w:t>
      </w:r>
      <w:r>
        <w:rPr>
          <w:rFonts w:hint="eastAsia" w:ascii="仿宋_GB2312" w:hAnsi="仿宋"/>
          <w:szCs w:val="32"/>
          <w:lang w:val="en-US" w:eastAsia="zh-CN"/>
        </w:rPr>
        <w:t>100</w:t>
      </w:r>
      <w:r>
        <w:rPr>
          <w:rFonts w:hint="eastAsia" w:ascii="仿宋_GB2312" w:hAnsi="仿宋"/>
          <w:szCs w:val="32"/>
          <w:lang w:eastAsia="zh-CN"/>
        </w:rPr>
        <w:t>%；</w:t>
      </w:r>
      <w:r>
        <w:rPr>
          <w:rFonts w:hint="eastAsia" w:ascii="仿宋_GB2312" w:hAnsi="仿宋"/>
          <w:szCs w:val="32"/>
          <w:lang w:val="en-US" w:eastAsia="zh-CN"/>
        </w:rPr>
        <w:t>与年初预算持平；与上年数持平</w:t>
      </w:r>
      <w:r>
        <w:rPr>
          <w:rFonts w:hint="eastAsia" w:ascii="仿宋_GB2312" w:hAnsi="仿宋"/>
          <w:szCs w:val="32"/>
          <w:lang w:eastAsia="zh-CN"/>
        </w:rPr>
        <w:t>。202</w:t>
      </w:r>
      <w:r>
        <w:rPr>
          <w:rFonts w:hint="eastAsia" w:ascii="仿宋_GB2312" w:hAnsi="仿宋"/>
          <w:szCs w:val="32"/>
          <w:lang w:val="en-US" w:eastAsia="zh-CN"/>
        </w:rPr>
        <w:t>3</w:t>
      </w:r>
      <w:r>
        <w:rPr>
          <w:rFonts w:hint="eastAsia" w:ascii="仿宋_GB2312" w:hAnsi="仿宋"/>
          <w:szCs w:val="32"/>
        </w:rPr>
        <w:t>年</w:t>
      </w:r>
      <w:r>
        <w:rPr>
          <w:rFonts w:hint="eastAsia" w:ascii="仿宋_GB2312" w:hAnsi="仿宋" w:cs="Times New Roman"/>
          <w:szCs w:val="32"/>
          <w:lang w:eastAsia="zh-CN"/>
        </w:rPr>
        <w:t>淮北市中医医院</w:t>
      </w:r>
      <w:r>
        <w:rPr>
          <w:rFonts w:hint="eastAsia" w:ascii="仿宋_GB2312" w:hAnsi="仿宋"/>
          <w:szCs w:val="32"/>
        </w:rPr>
        <w:t>因公出国（境）团组</w:t>
      </w:r>
      <w:r>
        <w:rPr>
          <w:rFonts w:hint="eastAsia" w:ascii="仿宋_GB2312" w:hAnsi="仿宋"/>
          <w:szCs w:val="32"/>
          <w:lang w:val="en-US" w:eastAsia="zh-CN"/>
        </w:rPr>
        <w:t>0</w:t>
      </w:r>
      <w:r>
        <w:rPr>
          <w:rFonts w:hint="eastAsia" w:ascii="仿宋_GB2312" w:hAnsi="仿宋"/>
          <w:szCs w:val="32"/>
        </w:rPr>
        <w:t>次，累计出国（境）</w:t>
      </w:r>
      <w:r>
        <w:rPr>
          <w:rFonts w:hint="eastAsia" w:ascii="仿宋_GB2312" w:hAnsi="仿宋"/>
          <w:szCs w:val="32"/>
          <w:lang w:val="en-US" w:eastAsia="zh-CN"/>
        </w:rPr>
        <w:t>0</w:t>
      </w:r>
      <w:r>
        <w:rPr>
          <w:rFonts w:hint="eastAsia" w:ascii="仿宋_GB2312" w:hAnsi="仿宋"/>
          <w:szCs w:val="32"/>
        </w:rPr>
        <w:t>人次。</w:t>
      </w:r>
      <w:r>
        <w:rPr>
          <w:rFonts w:hint="eastAsia" w:ascii="仿宋_GB2312" w:hAnsi="仿宋"/>
          <w:szCs w:val="32"/>
          <w:lang w:val="en-US" w:eastAsia="zh-CN"/>
        </w:rPr>
        <w:t>原因是本单位无此项业务安排</w:t>
      </w:r>
      <w:r>
        <w:rPr>
          <w:rFonts w:hint="eastAsia" w:ascii="仿宋_GB2312" w:hAnsi="仿宋"/>
          <w:szCs w:val="32"/>
        </w:rPr>
        <w:t>。经费使用严格按照</w:t>
      </w:r>
      <w:r>
        <w:rPr>
          <w:rFonts w:hint="eastAsia" w:ascii="仿宋_GB2312" w:hAnsi="仿宋"/>
          <w:color w:val="auto"/>
          <w:szCs w:val="32"/>
        </w:rPr>
        <w:t>《</w:t>
      </w:r>
      <w:r>
        <w:rPr>
          <w:rFonts w:hint="eastAsia" w:ascii="仿宋_GB2312" w:hAnsi="仿宋"/>
          <w:color w:val="auto"/>
          <w:szCs w:val="32"/>
          <w:lang w:val="en-US" w:eastAsia="zh-CN"/>
        </w:rPr>
        <w:t>淮北市财政局淮北市外事办公室关于转发&lt;</w:t>
      </w:r>
      <w:r>
        <w:rPr>
          <w:rFonts w:hint="eastAsia" w:ascii="仿宋_GB2312" w:hAnsi="仿宋"/>
          <w:color w:val="auto"/>
          <w:szCs w:val="32"/>
        </w:rPr>
        <w:t>安徽省省直党政机关因公临时出国经费管理办法</w:t>
      </w:r>
      <w:r>
        <w:rPr>
          <w:rFonts w:hint="eastAsia" w:ascii="仿宋_GB2312" w:hAnsi="仿宋"/>
          <w:color w:val="auto"/>
          <w:szCs w:val="32"/>
          <w:lang w:val="en-US" w:eastAsia="zh-CN"/>
        </w:rPr>
        <w:t>&gt;的通知</w:t>
      </w:r>
      <w:r>
        <w:rPr>
          <w:rFonts w:hint="eastAsia" w:ascii="仿宋_GB2312" w:hAnsi="仿宋"/>
          <w:color w:val="auto"/>
          <w:szCs w:val="32"/>
        </w:rPr>
        <w:t>》（财行〔2014〕</w:t>
      </w:r>
      <w:r>
        <w:rPr>
          <w:rFonts w:hint="eastAsia" w:ascii="仿宋_GB2312" w:hAnsi="仿宋"/>
          <w:color w:val="auto"/>
          <w:szCs w:val="32"/>
          <w:lang w:val="en-US" w:eastAsia="zh-CN"/>
        </w:rPr>
        <w:t>327</w:t>
      </w:r>
      <w:r>
        <w:rPr>
          <w:rFonts w:hint="eastAsia" w:ascii="仿宋_GB2312" w:hAnsi="仿宋"/>
          <w:color w:val="auto"/>
          <w:szCs w:val="32"/>
        </w:rPr>
        <w:t>号）、《</w:t>
      </w:r>
      <w:r>
        <w:rPr>
          <w:rFonts w:hint="eastAsia" w:ascii="仿宋_GB2312" w:hAnsi="仿宋"/>
          <w:color w:val="auto"/>
          <w:szCs w:val="32"/>
          <w:lang w:val="en-US" w:eastAsia="zh-CN"/>
        </w:rPr>
        <w:t>淮北市财政局淮北市人力资源和社会保障局关于转发&lt;</w:t>
      </w:r>
      <w:r>
        <w:rPr>
          <w:rFonts w:hint="eastAsia" w:ascii="仿宋_GB2312" w:hAnsi="仿宋"/>
          <w:color w:val="auto"/>
          <w:szCs w:val="32"/>
        </w:rPr>
        <w:t>安徽省省直党政机关因公短期出国培训费用管理办法</w:t>
      </w:r>
      <w:r>
        <w:rPr>
          <w:rFonts w:hint="eastAsia" w:ascii="仿宋_GB2312" w:hAnsi="仿宋"/>
          <w:color w:val="auto"/>
          <w:szCs w:val="32"/>
          <w:lang w:val="en-US" w:eastAsia="zh-CN"/>
        </w:rPr>
        <w:t>&gt;的通知</w:t>
      </w:r>
      <w:r>
        <w:rPr>
          <w:rFonts w:hint="eastAsia" w:ascii="仿宋_GB2312" w:hAnsi="仿宋"/>
          <w:color w:val="auto"/>
          <w:szCs w:val="32"/>
        </w:rPr>
        <w:t>》（财行〔201</w:t>
      </w:r>
      <w:r>
        <w:rPr>
          <w:rFonts w:hint="eastAsia" w:ascii="仿宋_GB2312" w:hAnsi="仿宋"/>
          <w:color w:val="auto"/>
          <w:szCs w:val="32"/>
          <w:lang w:val="en-US" w:eastAsia="zh-CN"/>
        </w:rPr>
        <w:t>5</w:t>
      </w:r>
      <w:r>
        <w:rPr>
          <w:rFonts w:hint="eastAsia" w:ascii="仿宋_GB2312" w:hAnsi="仿宋"/>
          <w:color w:val="auto"/>
          <w:szCs w:val="32"/>
        </w:rPr>
        <w:t>〕</w:t>
      </w:r>
      <w:r>
        <w:rPr>
          <w:rFonts w:hint="eastAsia" w:ascii="仿宋_GB2312" w:hAnsi="仿宋"/>
          <w:color w:val="auto"/>
          <w:szCs w:val="32"/>
          <w:lang w:val="en-US" w:eastAsia="zh-CN"/>
        </w:rPr>
        <w:t>293</w:t>
      </w:r>
      <w:r>
        <w:rPr>
          <w:rFonts w:hint="eastAsia" w:ascii="仿宋_GB2312" w:hAnsi="仿宋"/>
          <w:color w:val="auto"/>
          <w:szCs w:val="32"/>
        </w:rPr>
        <w:t>号）等相关规定执行。</w:t>
      </w:r>
    </w:p>
    <w:p w14:paraId="3D2A2CF8">
      <w:pPr>
        <w:ind w:firstLine="628" w:firstLineChars="200"/>
        <w:rPr>
          <w:rFonts w:hint="eastAsia" w:ascii="仿宋_GB2312" w:hAnsi="仿宋"/>
          <w:szCs w:val="32"/>
        </w:rPr>
      </w:pPr>
      <w:r>
        <w:rPr>
          <w:rFonts w:hint="eastAsia" w:ascii="仿宋_GB2312" w:hAnsi="仿宋"/>
          <w:b/>
          <w:bCs/>
          <w:szCs w:val="32"/>
        </w:rPr>
        <w:t>2.公务接待费</w:t>
      </w:r>
      <w:r>
        <w:rPr>
          <w:rFonts w:hint="eastAsia" w:ascii="仿宋_GB2312" w:hAnsi="仿宋"/>
          <w:szCs w:val="32"/>
          <w:lang w:eastAsia="zh-CN"/>
        </w:rPr>
        <w:t>预算为</w:t>
      </w:r>
      <w:r>
        <w:rPr>
          <w:rFonts w:hint="eastAsia" w:ascii="仿宋_GB2312" w:hAnsi="仿宋"/>
          <w:szCs w:val="32"/>
          <w:lang w:val="en-US" w:eastAsia="zh-CN"/>
        </w:rPr>
        <w:t>0</w:t>
      </w:r>
      <w:r>
        <w:rPr>
          <w:rFonts w:hint="eastAsia" w:ascii="仿宋_GB2312" w:hAnsi="仿宋"/>
          <w:szCs w:val="32"/>
          <w:lang w:eastAsia="zh-CN"/>
        </w:rPr>
        <w:t>万元，支出决算为</w:t>
      </w:r>
      <w:r>
        <w:rPr>
          <w:rFonts w:hint="eastAsia" w:ascii="仿宋_GB2312" w:hAnsi="仿宋"/>
          <w:szCs w:val="32"/>
          <w:lang w:val="en-US" w:eastAsia="zh-CN"/>
        </w:rPr>
        <w:t>0万元</w:t>
      </w:r>
      <w:r>
        <w:rPr>
          <w:rFonts w:hint="eastAsia" w:ascii="仿宋_GB2312" w:hAnsi="仿宋"/>
          <w:szCs w:val="32"/>
          <w:lang w:eastAsia="zh-CN"/>
        </w:rPr>
        <w:t>，完成预算的</w:t>
      </w:r>
      <w:r>
        <w:rPr>
          <w:rFonts w:hint="eastAsia" w:ascii="仿宋_GB2312" w:hAnsi="仿宋"/>
          <w:szCs w:val="32"/>
          <w:lang w:val="en-US" w:eastAsia="zh-CN"/>
        </w:rPr>
        <w:t>100</w:t>
      </w:r>
      <w:r>
        <w:rPr>
          <w:rFonts w:hint="eastAsia" w:ascii="仿宋_GB2312" w:hAnsi="仿宋"/>
          <w:szCs w:val="32"/>
          <w:lang w:eastAsia="zh-CN"/>
        </w:rPr>
        <w:t>%；</w:t>
      </w:r>
      <w:r>
        <w:rPr>
          <w:rFonts w:hint="eastAsia" w:ascii="仿宋_GB2312" w:hAnsi="仿宋"/>
          <w:szCs w:val="32"/>
          <w:lang w:val="en-US" w:eastAsia="zh-CN"/>
        </w:rPr>
        <w:t>与年初预算持平；与上年数持平</w:t>
      </w:r>
      <w:r>
        <w:rPr>
          <w:rFonts w:hint="eastAsia" w:ascii="仿宋_GB2312" w:hAnsi="仿宋"/>
          <w:szCs w:val="32"/>
          <w:lang w:eastAsia="zh-CN"/>
        </w:rPr>
        <w:t>。202</w:t>
      </w:r>
      <w:r>
        <w:rPr>
          <w:rFonts w:hint="eastAsia" w:ascii="仿宋_GB2312" w:hAnsi="仿宋"/>
          <w:szCs w:val="32"/>
          <w:lang w:val="en-US" w:eastAsia="zh-CN"/>
        </w:rPr>
        <w:t>3</w:t>
      </w:r>
      <w:r>
        <w:rPr>
          <w:rFonts w:hint="eastAsia" w:ascii="仿宋_GB2312" w:hAnsi="仿宋"/>
          <w:szCs w:val="32"/>
        </w:rPr>
        <w:t>年</w:t>
      </w:r>
      <w:r>
        <w:rPr>
          <w:rFonts w:hint="eastAsia" w:ascii="仿宋_GB2312" w:hAnsi="仿宋" w:cs="Times New Roman"/>
          <w:szCs w:val="32"/>
          <w:lang w:eastAsia="zh-CN"/>
        </w:rPr>
        <w:t>淮北市中医医院</w:t>
      </w:r>
      <w:r>
        <w:rPr>
          <w:rFonts w:hint="eastAsia" w:ascii="仿宋_GB2312" w:hAnsi="仿宋"/>
          <w:szCs w:val="32"/>
        </w:rPr>
        <w:t>国内公务接待共</w:t>
      </w:r>
      <w:r>
        <w:rPr>
          <w:rFonts w:hint="eastAsia" w:ascii="仿宋_GB2312" w:hAnsi="仿宋"/>
          <w:szCs w:val="32"/>
          <w:lang w:val="en-US" w:eastAsia="zh-CN"/>
        </w:rPr>
        <w:t>0</w:t>
      </w:r>
      <w:r>
        <w:rPr>
          <w:rFonts w:hint="eastAsia" w:ascii="仿宋_GB2312" w:hAnsi="仿宋"/>
          <w:szCs w:val="32"/>
        </w:rPr>
        <w:t>批次（其中外事接待</w:t>
      </w:r>
      <w:r>
        <w:rPr>
          <w:rFonts w:hint="eastAsia" w:ascii="仿宋_GB2312" w:hAnsi="仿宋"/>
          <w:szCs w:val="32"/>
          <w:lang w:val="en-US" w:eastAsia="zh-CN"/>
        </w:rPr>
        <w:t>0</w:t>
      </w:r>
      <w:r>
        <w:rPr>
          <w:rFonts w:hint="eastAsia" w:ascii="仿宋_GB2312" w:hAnsi="仿宋"/>
          <w:szCs w:val="32"/>
        </w:rPr>
        <w:t>批次），</w:t>
      </w:r>
      <w:r>
        <w:rPr>
          <w:rFonts w:hint="eastAsia" w:ascii="仿宋_GB2312" w:hAnsi="仿宋"/>
          <w:szCs w:val="32"/>
          <w:lang w:val="en-US" w:eastAsia="zh-CN"/>
        </w:rPr>
        <w:t>0</w:t>
      </w:r>
      <w:r>
        <w:rPr>
          <w:rFonts w:hint="eastAsia" w:ascii="仿宋_GB2312" w:hAnsi="仿宋"/>
          <w:szCs w:val="32"/>
        </w:rPr>
        <w:t>人次（其中外事接待</w:t>
      </w:r>
      <w:r>
        <w:rPr>
          <w:rFonts w:hint="eastAsia" w:ascii="仿宋_GB2312" w:hAnsi="仿宋"/>
          <w:szCs w:val="32"/>
          <w:lang w:val="en-US" w:eastAsia="zh-CN"/>
        </w:rPr>
        <w:t>0</w:t>
      </w:r>
      <w:r>
        <w:rPr>
          <w:rFonts w:hint="eastAsia" w:ascii="仿宋_GB2312" w:hAnsi="仿宋"/>
          <w:szCs w:val="32"/>
        </w:rPr>
        <w:t>人次）。</w:t>
      </w:r>
      <w:r>
        <w:rPr>
          <w:rFonts w:hint="eastAsia" w:ascii="仿宋_GB2312" w:hAnsi="仿宋"/>
          <w:szCs w:val="32"/>
          <w:lang w:val="en-US" w:eastAsia="zh-CN"/>
        </w:rPr>
        <w:t>原因是本单位无此项业务安排</w:t>
      </w:r>
      <w:r>
        <w:rPr>
          <w:rFonts w:hint="eastAsia" w:ascii="仿宋_GB2312" w:hAnsi="仿宋"/>
          <w:szCs w:val="32"/>
        </w:rPr>
        <w:t>。经费使用贯彻中央八项规定</w:t>
      </w:r>
      <w:r>
        <w:rPr>
          <w:rFonts w:hint="eastAsia" w:ascii="仿宋_GB2312" w:hAnsi="仿宋"/>
          <w:szCs w:val="32"/>
          <w:lang w:eastAsia="zh-CN"/>
        </w:rPr>
        <w:t>精神</w:t>
      </w:r>
      <w:r>
        <w:rPr>
          <w:rFonts w:hint="eastAsia" w:ascii="仿宋_GB2312" w:hAnsi="仿宋"/>
          <w:szCs w:val="32"/>
        </w:rPr>
        <w:t>和省</w:t>
      </w:r>
      <w:r>
        <w:rPr>
          <w:rFonts w:hint="eastAsia" w:ascii="仿宋_GB2312" w:hAnsi="仿宋"/>
          <w:szCs w:val="32"/>
          <w:lang w:eastAsia="zh-CN"/>
        </w:rPr>
        <w:t>委</w:t>
      </w:r>
      <w:r>
        <w:rPr>
          <w:rFonts w:hint="eastAsia" w:ascii="仿宋_GB2312" w:hAnsi="仿宋"/>
          <w:szCs w:val="32"/>
        </w:rPr>
        <w:t>实</w:t>
      </w:r>
      <w:r>
        <w:rPr>
          <w:rFonts w:hint="eastAsia" w:ascii="仿宋_GB2312" w:hAnsi="宋体" w:cs="宋体"/>
          <w:color w:val="282828"/>
          <w:kern w:val="0"/>
          <w:szCs w:val="32"/>
        </w:rPr>
        <w:t>施细则</w:t>
      </w:r>
      <w:r>
        <w:rPr>
          <w:rFonts w:hint="eastAsia" w:ascii="仿宋_GB2312" w:hAnsi="仿宋"/>
          <w:szCs w:val="32"/>
        </w:rPr>
        <w:t>，严格执行《党政机关厉行节约反对浪费条例》、《关于印发&lt;淮北市市直单位接待经费管理暂行办法&gt;的通知》（财行〔2013〕133号）、《淮北市财政局淮北市机关事务管理中心关于调整市直机关公务接待费用餐标准的通知》（财行〔2021〕85号）等相关规定。</w:t>
      </w:r>
    </w:p>
    <w:p w14:paraId="7133FF71">
      <w:pPr>
        <w:ind w:firstLine="628" w:firstLineChars="200"/>
        <w:rPr>
          <w:rFonts w:hint="eastAsia" w:ascii="仿宋_GB2312" w:eastAsia="仿宋_GB2312"/>
          <w:sz w:val="32"/>
        </w:rPr>
      </w:pPr>
      <w:r>
        <w:rPr>
          <w:rFonts w:hint="eastAsia" w:ascii="仿宋_GB2312" w:hAnsi="仿宋"/>
          <w:b/>
          <w:bCs/>
          <w:szCs w:val="32"/>
        </w:rPr>
        <w:t>3.公务用车购置及运行维护费</w:t>
      </w:r>
      <w:r>
        <w:rPr>
          <w:rFonts w:hint="eastAsia" w:ascii="仿宋_GB2312" w:hAnsi="仿宋"/>
          <w:szCs w:val="32"/>
          <w:lang w:eastAsia="zh-CN"/>
        </w:rPr>
        <w:t>预算为</w:t>
      </w:r>
      <w:r>
        <w:rPr>
          <w:rFonts w:hint="eastAsia" w:ascii="仿宋_GB2312" w:hAnsi="仿宋"/>
          <w:szCs w:val="32"/>
          <w:lang w:val="en-US" w:eastAsia="zh-CN"/>
        </w:rPr>
        <w:t>0</w:t>
      </w:r>
      <w:r>
        <w:rPr>
          <w:rFonts w:hint="eastAsia" w:ascii="仿宋_GB2312" w:hAnsi="仿宋"/>
          <w:szCs w:val="32"/>
          <w:lang w:eastAsia="zh-CN"/>
        </w:rPr>
        <w:t>万元，支出决算为</w:t>
      </w:r>
      <w:r>
        <w:rPr>
          <w:rFonts w:hint="eastAsia" w:ascii="仿宋_GB2312" w:hAnsi="仿宋"/>
          <w:szCs w:val="32"/>
          <w:lang w:val="en-US" w:eastAsia="zh-CN"/>
        </w:rPr>
        <w:t xml:space="preserve">  0万元</w:t>
      </w:r>
      <w:r>
        <w:rPr>
          <w:rFonts w:hint="eastAsia" w:ascii="仿宋_GB2312" w:hAnsi="仿宋"/>
          <w:szCs w:val="32"/>
          <w:lang w:eastAsia="zh-CN"/>
        </w:rPr>
        <w:t>，完成预算的</w:t>
      </w:r>
      <w:r>
        <w:rPr>
          <w:rFonts w:hint="eastAsia" w:ascii="仿宋_GB2312" w:hAnsi="仿宋"/>
          <w:szCs w:val="32"/>
          <w:lang w:val="en-US" w:eastAsia="zh-CN"/>
        </w:rPr>
        <w:t>100</w:t>
      </w:r>
      <w:r>
        <w:rPr>
          <w:rFonts w:hint="eastAsia" w:ascii="仿宋_GB2312" w:hAnsi="仿宋"/>
          <w:szCs w:val="32"/>
          <w:lang w:eastAsia="zh-CN"/>
        </w:rPr>
        <w:t>%；</w:t>
      </w:r>
      <w:r>
        <w:rPr>
          <w:rFonts w:hint="eastAsia" w:ascii="仿宋_GB2312" w:hAnsi="仿宋"/>
          <w:szCs w:val="32"/>
          <w:lang w:val="en-US" w:eastAsia="zh-CN"/>
        </w:rPr>
        <w:t>与年初预算持平；与上年数持平。原因是本单位无此项业务安排。</w:t>
      </w:r>
      <w:r>
        <w:rPr>
          <w:rFonts w:hint="eastAsia" w:ascii="仿宋_GB2312" w:hAnsi="仿宋"/>
          <w:szCs w:val="32"/>
        </w:rPr>
        <w:t>其中，公务用车购</w:t>
      </w:r>
      <w:r>
        <w:rPr>
          <w:rFonts w:hint="eastAsia" w:ascii="仿宋_GB2312" w:hAnsi="仿宋"/>
          <w:szCs w:val="32"/>
          <w:lang w:eastAsia="zh-CN"/>
        </w:rPr>
        <w:t>置费预算为</w:t>
      </w:r>
      <w:r>
        <w:rPr>
          <w:rFonts w:hint="eastAsia" w:ascii="仿宋_GB2312" w:hAnsi="仿宋"/>
          <w:szCs w:val="32"/>
          <w:lang w:val="en-US" w:eastAsia="zh-CN"/>
        </w:rPr>
        <w:t>0</w:t>
      </w:r>
      <w:r>
        <w:rPr>
          <w:rFonts w:hint="eastAsia" w:ascii="仿宋_GB2312" w:hAnsi="仿宋"/>
          <w:szCs w:val="32"/>
          <w:lang w:eastAsia="zh-CN"/>
        </w:rPr>
        <w:t>万元，支出决算为</w:t>
      </w:r>
      <w:r>
        <w:rPr>
          <w:rFonts w:hint="eastAsia" w:ascii="仿宋_GB2312" w:hAnsi="仿宋"/>
          <w:szCs w:val="32"/>
          <w:lang w:val="en-US" w:eastAsia="zh-CN"/>
        </w:rPr>
        <w:t>0万元</w:t>
      </w:r>
      <w:r>
        <w:rPr>
          <w:rFonts w:hint="eastAsia" w:ascii="仿宋_GB2312" w:hAnsi="仿宋"/>
          <w:szCs w:val="32"/>
          <w:lang w:eastAsia="zh-CN"/>
        </w:rPr>
        <w:t>，完成预算的</w:t>
      </w:r>
      <w:r>
        <w:rPr>
          <w:rFonts w:hint="eastAsia" w:ascii="仿宋_GB2312" w:hAnsi="仿宋"/>
          <w:szCs w:val="32"/>
          <w:lang w:val="en-US" w:eastAsia="zh-CN"/>
        </w:rPr>
        <w:t>100</w:t>
      </w:r>
      <w:r>
        <w:rPr>
          <w:rFonts w:hint="eastAsia" w:ascii="仿宋_GB2312" w:hAnsi="仿宋"/>
          <w:szCs w:val="32"/>
          <w:lang w:eastAsia="zh-CN"/>
        </w:rPr>
        <w:t>%；</w:t>
      </w:r>
      <w:r>
        <w:rPr>
          <w:rFonts w:hint="eastAsia" w:ascii="仿宋_GB2312" w:hAnsi="仿宋"/>
          <w:szCs w:val="32"/>
          <w:lang w:val="en-US" w:eastAsia="zh-CN"/>
        </w:rPr>
        <w:t>与年初预算持平；与上年数持平。原因是本单位无此项业务安排。</w:t>
      </w:r>
      <w:r>
        <w:rPr>
          <w:rFonts w:hint="eastAsia" w:ascii="仿宋_GB2312" w:hAnsi="仿宋" w:cs="Times New Roman"/>
          <w:szCs w:val="32"/>
          <w:lang w:val="en-US" w:eastAsia="zh-CN"/>
        </w:rPr>
        <w:t>2023年没有安排公务用车购置费。公务用车运行维护费预算为0</w:t>
      </w:r>
      <w:r>
        <w:rPr>
          <w:rFonts w:hint="eastAsia" w:ascii="仿宋_GB2312" w:hAnsi="仿宋"/>
          <w:szCs w:val="32"/>
          <w:lang w:eastAsia="zh-CN"/>
        </w:rPr>
        <w:t>万元，支出决算为</w:t>
      </w:r>
      <w:r>
        <w:rPr>
          <w:rFonts w:hint="eastAsia" w:ascii="仿宋_GB2312" w:hAnsi="仿宋"/>
          <w:szCs w:val="32"/>
          <w:lang w:val="en-US" w:eastAsia="zh-CN"/>
        </w:rPr>
        <w:t>0万元</w:t>
      </w:r>
      <w:r>
        <w:rPr>
          <w:rFonts w:hint="eastAsia" w:ascii="仿宋_GB2312" w:hAnsi="仿宋"/>
          <w:szCs w:val="32"/>
          <w:lang w:eastAsia="zh-CN"/>
        </w:rPr>
        <w:t>，完成预算的</w:t>
      </w:r>
      <w:r>
        <w:rPr>
          <w:rFonts w:hint="eastAsia" w:ascii="仿宋_GB2312" w:hAnsi="仿宋"/>
          <w:szCs w:val="32"/>
          <w:lang w:val="en-US" w:eastAsia="zh-CN"/>
        </w:rPr>
        <w:t>100</w:t>
      </w:r>
      <w:r>
        <w:rPr>
          <w:rFonts w:hint="eastAsia" w:ascii="仿宋_GB2312" w:hAnsi="仿宋"/>
          <w:szCs w:val="32"/>
          <w:lang w:eastAsia="zh-CN"/>
        </w:rPr>
        <w:t>%；</w:t>
      </w:r>
      <w:r>
        <w:rPr>
          <w:rFonts w:hint="eastAsia" w:ascii="仿宋_GB2312" w:hAnsi="仿宋"/>
          <w:szCs w:val="32"/>
          <w:lang w:val="en-US" w:eastAsia="zh-CN"/>
        </w:rPr>
        <w:t>与年初预算持平；与上年数持平。原因是本单位无此项业务安排。</w:t>
      </w:r>
      <w:r>
        <w:rPr>
          <w:rFonts w:hint="eastAsia" w:ascii="仿宋_GB2312" w:hAnsi="仿宋"/>
          <w:szCs w:val="32"/>
        </w:rPr>
        <w:t>截至</w:t>
      </w:r>
      <w:r>
        <w:rPr>
          <w:rFonts w:hint="eastAsia" w:ascii="仿宋_GB2312" w:hAnsi="仿宋"/>
          <w:szCs w:val="32"/>
          <w:lang w:eastAsia="zh-CN"/>
        </w:rPr>
        <w:t>202</w:t>
      </w:r>
      <w:r>
        <w:rPr>
          <w:rFonts w:hint="eastAsia" w:ascii="仿宋_GB2312" w:hAnsi="仿宋"/>
          <w:szCs w:val="32"/>
          <w:lang w:val="en-US" w:eastAsia="zh-CN"/>
        </w:rPr>
        <w:t>3</w:t>
      </w:r>
      <w:r>
        <w:rPr>
          <w:rFonts w:hint="eastAsia" w:ascii="仿宋_GB2312" w:hAnsi="仿宋"/>
          <w:szCs w:val="32"/>
        </w:rPr>
        <w:t>年12月31日，</w:t>
      </w:r>
      <w:r>
        <w:rPr>
          <w:rFonts w:hint="eastAsia" w:ascii="仿宋_GB2312" w:hAnsi="仿宋"/>
          <w:szCs w:val="32"/>
          <w:lang w:val="en-US" w:eastAsia="zh-CN"/>
        </w:rPr>
        <w:t>淮北市中医医院</w:t>
      </w:r>
      <w:r>
        <w:rPr>
          <w:rFonts w:hint="eastAsia" w:ascii="仿宋_GB2312" w:hAnsi="仿宋"/>
          <w:szCs w:val="32"/>
        </w:rPr>
        <w:t>开支财政拨款的公务用车保有量为</w:t>
      </w:r>
      <w:r>
        <w:rPr>
          <w:rFonts w:hint="eastAsia" w:ascii="仿宋_GB2312" w:hAnsi="仿宋"/>
          <w:szCs w:val="32"/>
          <w:lang w:val="en-US" w:eastAsia="zh-CN"/>
        </w:rPr>
        <w:t>0</w:t>
      </w:r>
      <w:r>
        <w:rPr>
          <w:rFonts w:hint="eastAsia" w:ascii="仿宋_GB2312" w:hAnsi="仿宋"/>
          <w:szCs w:val="32"/>
        </w:rPr>
        <w:t>辆。</w:t>
      </w:r>
    </w:p>
    <w:p w14:paraId="3038569F">
      <w:pPr>
        <w:pStyle w:val="2"/>
        <w:ind w:left="1258" w:hanging="1258"/>
        <w:jc w:val="both"/>
        <w:rPr>
          <w:rFonts w:hint="eastAsia" w:ascii="仿宋_GB2312" w:eastAsia="仿宋_GB2312"/>
          <w:sz w:val="32"/>
        </w:rPr>
      </w:pPr>
    </w:p>
    <w:p w14:paraId="0EB96362">
      <w:pPr>
        <w:pStyle w:val="2"/>
        <w:ind w:left="1258" w:hanging="1258"/>
        <w:jc w:val="both"/>
        <w:rPr>
          <w:rFonts w:hint="eastAsia" w:ascii="仿宋_GB2312" w:eastAsia="仿宋_GB2312"/>
          <w:sz w:val="32"/>
        </w:rPr>
      </w:pPr>
    </w:p>
    <w:p w14:paraId="4B52C76D">
      <w:pPr>
        <w:pStyle w:val="2"/>
        <w:jc w:val="both"/>
        <w:rPr>
          <w:rFonts w:hint="eastAsia"/>
        </w:rPr>
      </w:pPr>
    </w:p>
    <w:p w14:paraId="0A3E7C16"/>
    <w:sectPr>
      <w:footerReference r:id="rId3" w:type="default"/>
      <w:footerReference r:id="rId4" w:type="even"/>
      <w:pgSz w:w="11906" w:h="16838"/>
      <w:pgMar w:top="2155" w:right="1531" w:bottom="1588" w:left="1588" w:header="0" w:footer="1588" w:gutter="0"/>
      <w:pgBorders>
        <w:top w:val="none" w:sz="0" w:space="0"/>
        <w:left w:val="none" w:sz="0" w:space="0"/>
        <w:bottom w:val="none" w:sz="0" w:space="0"/>
        <w:right w:val="none" w:sz="0" w:space="0"/>
      </w:pgBorders>
      <w:cols w:space="720" w:num="1"/>
      <w:docGrid w:type="linesAndChars" w:linePitch="569" w:charSpace="-126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14330E">
    <w:pPr>
      <w:pStyle w:val="3"/>
      <w:framePr w:wrap="around" w:vAnchor="text" w:hAnchor="margin" w:xAlign="right" w:y="1"/>
      <w:rPr>
        <w:rStyle w:val="6"/>
        <w:rFonts w:ascii="仿宋_GB2312"/>
        <w:sz w:val="28"/>
      </w:rPr>
    </w:pPr>
    <w:r>
      <w:rPr>
        <w:rStyle w:val="6"/>
        <w:rFonts w:hint="eastAsia" w:ascii="仿宋_GB2312"/>
        <w:sz w:val="28"/>
      </w:rPr>
      <w:t>-</w:t>
    </w:r>
    <w:r>
      <w:rPr>
        <w:rFonts w:hint="eastAsia" w:ascii="仿宋_GB2312"/>
        <w:sz w:val="28"/>
        <w:szCs w:val="28"/>
      </w:rPr>
      <w:fldChar w:fldCharType="begin"/>
    </w:r>
    <w:r>
      <w:rPr>
        <w:rStyle w:val="6"/>
        <w:rFonts w:hint="eastAsia" w:ascii="仿宋_GB2312"/>
        <w:sz w:val="28"/>
        <w:szCs w:val="28"/>
      </w:rPr>
      <w:instrText xml:space="preserve"> PAGE </w:instrText>
    </w:r>
    <w:r>
      <w:rPr>
        <w:rFonts w:hint="eastAsia" w:ascii="仿宋_GB2312"/>
        <w:sz w:val="28"/>
        <w:szCs w:val="28"/>
      </w:rPr>
      <w:fldChar w:fldCharType="separate"/>
    </w:r>
    <w:r>
      <w:rPr>
        <w:rStyle w:val="6"/>
        <w:rFonts w:ascii="仿宋_GB2312"/>
        <w:sz w:val="28"/>
        <w:szCs w:val="28"/>
      </w:rPr>
      <w:t>50</w:t>
    </w:r>
    <w:r>
      <w:rPr>
        <w:rFonts w:hint="eastAsia" w:ascii="仿宋_GB2312"/>
        <w:sz w:val="28"/>
        <w:szCs w:val="28"/>
      </w:rPr>
      <w:fldChar w:fldCharType="end"/>
    </w:r>
    <w:r>
      <w:rPr>
        <w:rStyle w:val="6"/>
        <w:rFonts w:hint="eastAsia" w:ascii="仿宋_GB2312"/>
        <w:sz w:val="28"/>
        <w:szCs w:val="28"/>
      </w:rPr>
      <w:t>-</w:t>
    </w:r>
  </w:p>
  <w:p w14:paraId="464FFE81">
    <w:pPr>
      <w:pStyle w:val="3"/>
      <w:ind w:right="360"/>
      <w:jc w:val="right"/>
      <w:rPr>
        <w:rFonts w:hint="eastAsia" w:ascii="仿宋_GB2312"/>
        <w:sz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B3EC41">
    <w:pPr>
      <w:pStyle w:val="3"/>
      <w:framePr w:wrap="around" w:vAnchor="text" w:hAnchor="margin" w:xAlign="right" w:y="1"/>
      <w:rPr>
        <w:rStyle w:val="6"/>
      </w:rPr>
    </w:pPr>
    <w:r>
      <w:fldChar w:fldCharType="begin"/>
    </w:r>
    <w:r>
      <w:rPr>
        <w:rStyle w:val="6"/>
      </w:rPr>
      <w:instrText xml:space="preserve">PAGE  </w:instrText>
    </w:r>
    <w:r>
      <w:fldChar w:fldCharType="separate"/>
    </w:r>
    <w:r>
      <w:rPr>
        <w:rStyle w:val="6"/>
      </w:rPr>
      <w:t>1</w:t>
    </w:r>
    <w:r>
      <w:fldChar w:fldCharType="end"/>
    </w:r>
  </w:p>
  <w:p w14:paraId="69EC700D">
    <w:pPr>
      <w:pStyle w:val="3"/>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JjYzA0NzdjODdiMjEwZjgyZGY3ZTQxOWZmYzhiNDYifQ=="/>
  </w:docVars>
  <w:rsids>
    <w:rsidRoot w:val="33E4138E"/>
    <w:rsid w:val="03127217"/>
    <w:rsid w:val="0F21649C"/>
    <w:rsid w:val="1C9C5BD4"/>
    <w:rsid w:val="33E413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jc w:val="center"/>
    </w:pPr>
    <w:rPr>
      <w:rFonts w:eastAsia="黑体"/>
      <w:sz w:val="36"/>
    </w:rPr>
  </w:style>
  <w:style w:type="paragraph" w:styleId="3">
    <w:name w:val="footer"/>
    <w:basedOn w:val="1"/>
    <w:qFormat/>
    <w:uiPriority w:val="0"/>
    <w:pPr>
      <w:tabs>
        <w:tab w:val="center" w:pos="4153"/>
        <w:tab w:val="right" w:pos="8306"/>
      </w:tabs>
      <w:snapToGrid w:val="0"/>
      <w:jc w:val="left"/>
    </w:pPr>
    <w:rPr>
      <w:sz w:val="18"/>
    </w:rPr>
  </w:style>
  <w:style w:type="character" w:styleId="6">
    <w:name w:val="page number"/>
    <w:basedOn w:val="5"/>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1179</Words>
  <Characters>1249</Characters>
  <Lines>0</Lines>
  <Paragraphs>0</Paragraphs>
  <TotalTime>3</TotalTime>
  <ScaleCrop>false</ScaleCrop>
  <LinksUpToDate>false</LinksUpToDate>
  <CharactersWithSpaces>1317</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2024-09-25T07:53:00Z</dcterms:created>
  <dc:creator>Administrator</dc:creator>
  <cp:lastModifiedBy>核算中心-朱兆琪</cp:lastModifiedBy>
  <dcterms:modified xsi:type="dcterms:W3CDTF">2024-09-25T10:41:26Z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4597B626312E4D2C99B3520F0C03E2E0_11</vt:lpwstr>
  </property>
</Properties>
</file>